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1428750" cy="552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552450"/>
                    </a:xfrm>
                    <a:prstGeom prst="rect">
                      <a:avLst/>
                    </a:prstGeom>
                  </pic:spPr>
                </pic:pic>
              </a:graphicData>
            </a:graphic>
          </wp:inline>
        </w:drawing>
      </w:r>
    </w:p>
    <w:p>
      <w:pPr>
        <w:spacing w:after="60"/>
      </w:pPr>
      <w:r>
        <w:rPr>
          <w:rFonts w:ascii="Arial" w:cs="Arial" w:eastAsia="Arial" w:hAnsi="Arial"/>
          <w:b/>
          <w:bCs/>
          <w:color w:val="CF3827"/>
          <w:spacing w:val="40"/>
          <w:sz w:val="18"/>
          <w:szCs w:val="18"/>
        </w:rPr>
        <w:t xml:space="preserve">TEMPLATE</w:t>
      </w:r>
    </w:p>
    <w:p>
      <w:pPr>
        <w:spacing w:after="60"/>
      </w:pPr>
      <w:r>
        <w:rPr>
          <w:rFonts w:ascii="Arial" w:cs="Arial" w:eastAsia="Arial" w:hAnsi="Arial"/>
          <w:color w:val="4B5563"/>
          <w:sz w:val="28"/>
          <w:szCs w:val="28"/>
          <w:highlight w:val="yellow"/>
        </w:rPr>
        <w:t xml:space="preserve">[ORGANISATION NAME]</w:t>
      </w:r>
    </w:p>
    <w:p>
      <w:pPr>
        <w:spacing w:after="240"/>
      </w:pPr>
      <w:r>
        <w:rPr>
          <w:rFonts w:ascii="Arial" w:cs="Arial" w:eastAsia="Arial" w:hAnsi="Arial"/>
          <w:b/>
          <w:bCs/>
          <w:color w:val="14233A"/>
          <w:sz w:val="48"/>
          <w:szCs w:val="48"/>
        </w:rPr>
        <w:t xml:space="preserve">Vulnerability Management Policy</w:t>
      </w:r>
    </w:p>
    <w:p>
      <w:pPr>
        <w:pBdr>
          <w:left w:val="single" w:color="CF3827" w:sz="18" w:space="8"/>
        </w:pBdr>
        <w:shd w:fill="F3F4F6" w:color="auto" w:val="clear"/>
        <w:spacing w:after="240"/>
      </w:pPr>
      <w:r>
        <w:rPr>
          <w:rFonts w:ascii="Arial" w:cs="Arial" w:eastAsia="Arial" w:hAnsi="Arial"/>
          <w:b/>
          <w:bCs/>
          <w:sz w:val="19"/>
          <w:szCs w:val="19"/>
        </w:rPr>
        <w:t xml:space="preserve">How to use this template: </w:t>
      </w:r>
      <w:r>
        <w:rPr>
          <w:rFonts w:ascii="Arial" w:cs="Arial" w:eastAsia="Arial" w:hAnsi="Arial"/>
          <w:sz w:val="19"/>
          <w:szCs w:val="19"/>
        </w:rPr>
        <w:t xml:space="preserve">replace every highlighted placeholder, adjust the scanning frequencies and remediation timelines to fit your risk appetite and regulatory obligations, then delete this note and have the policy approved by senior management.</w:t>
      </w:r>
    </w:p>
    <w:p>
      <w:pPr>
        <w:pStyle w:val="Heading2"/>
      </w:pPr>
      <w:r>
        <w:rPr>
          <w:rFonts w:ascii="Arial" w:cs="Arial" w:eastAsia="Arial" w:hAnsi="Arial"/>
        </w:rPr>
        <w:t xml:space="preserve">Document control</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rPr>
          <w:tblHeader/>
        </w:trPr>
        <w:tc>
          <w:tcPr>
            <w:tcW w:type="dxa" w:w="2800"/>
            <w:tcBorders>
              <w:top w:val="single" w:color="D1D5DB" w:sz="4"/>
              <w:left w:val="single" w:color="D1D5DB" w:sz="4"/>
              <w:bottom w:val="single" w:color="D1D5DB" w:sz="4"/>
              <w:right w:val="single" w:color="D1D5DB" w:sz="4"/>
            </w:tcBorders>
            <w:shd w:fill="14233A" w:color="auto" w:val="clear"/>
            <w:tcMar>
              <w:top w:type="dxa" w:w="60"/>
              <w:left w:type="dxa" w:w="100"/>
              <w:bottom w:type="dxa" w:w="60"/>
              <w:right w:type="dxa" w:w="100"/>
            </w:tcMar>
          </w:tcPr>
          <w:p>
            <w:r>
              <w:rPr>
                <w:rFonts w:ascii="Arial" w:cs="Arial" w:eastAsia="Arial" w:hAnsi="Arial"/>
                <w:b/>
                <w:bCs/>
                <w:color w:val="FFFFFF"/>
                <w:sz w:val="19"/>
                <w:szCs w:val="19"/>
              </w:rPr>
              <w:t xml:space="preserve">Item</w:t>
            </w:r>
          </w:p>
        </w:tc>
        <w:tc>
          <w:tcPr>
            <w:tcW w:type="dxa" w:w="6226"/>
            <w:tcBorders>
              <w:top w:val="single" w:color="D1D5DB" w:sz="4"/>
              <w:left w:val="single" w:color="D1D5DB" w:sz="4"/>
              <w:bottom w:val="single" w:color="D1D5DB" w:sz="4"/>
              <w:right w:val="single" w:color="D1D5DB" w:sz="4"/>
            </w:tcBorders>
            <w:shd w:fill="14233A" w:color="auto" w:val="clear"/>
            <w:tcMar>
              <w:top w:type="dxa" w:w="60"/>
              <w:left w:type="dxa" w:w="100"/>
              <w:bottom w:type="dxa" w:w="60"/>
              <w:right w:type="dxa" w:w="100"/>
            </w:tcMar>
          </w:tcPr>
          <w:p>
            <w:r>
              <w:rPr>
                <w:rFonts w:ascii="Arial" w:cs="Arial" w:eastAsia="Arial" w:hAnsi="Arial"/>
                <w:b/>
                <w:bCs/>
                <w:color w:val="FFFFFF"/>
                <w:sz w:val="19"/>
                <w:szCs w:val="19"/>
              </w:rPr>
              <w:t xml:space="preserve">Detail</w:t>
            </w:r>
          </w:p>
        </w:tc>
      </w:tr>
      <w:tr>
        <w:tc>
          <w:tcPr>
            <w:tcW w:type="dxa" w:w="28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Policy owner</w:t>
            </w:r>
          </w:p>
        </w:tc>
        <w:tc>
          <w:tcPr>
            <w:tcW w:type="dxa" w:w="62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highlight w:val="yellow"/>
              </w:rPr>
              <w:t xml:space="preserve">[JOB TITLE, e.g. Head of Information Security]</w:t>
            </w:r>
          </w:p>
        </w:tc>
      </w:tr>
      <w:tr>
        <w:tc>
          <w:tcPr>
            <w:tcW w:type="dxa" w:w="28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Version</w:t>
            </w:r>
          </w:p>
        </w:tc>
        <w:tc>
          <w:tcPr>
            <w:tcW w:type="dxa" w:w="62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highlight w:val="yellow"/>
              </w:rPr>
              <w:t xml:space="preserve">[1.0]</w:t>
            </w:r>
          </w:p>
        </w:tc>
      </w:tr>
      <w:tr>
        <w:tc>
          <w:tcPr>
            <w:tcW w:type="dxa" w:w="28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Approved by</w:t>
            </w:r>
          </w:p>
        </w:tc>
        <w:tc>
          <w:tcPr>
            <w:tcW w:type="dxa" w:w="62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highlight w:val="yellow"/>
              </w:rPr>
              <w:t xml:space="preserve">[NAME, JOB TITLE]</w:t>
            </w:r>
          </w:p>
        </w:tc>
      </w:tr>
      <w:tr>
        <w:tc>
          <w:tcPr>
            <w:tcW w:type="dxa" w:w="28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Effective date</w:t>
            </w:r>
          </w:p>
        </w:tc>
        <w:tc>
          <w:tcPr>
            <w:tcW w:type="dxa" w:w="62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highlight w:val="yellow"/>
              </w:rPr>
              <w:t xml:space="preserve">[DATE]</w:t>
            </w:r>
          </w:p>
        </w:tc>
      </w:tr>
      <w:tr>
        <w:tc>
          <w:tcPr>
            <w:tcW w:type="dxa" w:w="28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Next review date</w:t>
            </w:r>
          </w:p>
        </w:tc>
        <w:tc>
          <w:tcPr>
            <w:tcW w:type="dxa" w:w="62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highlight w:val="yellow"/>
              </w:rPr>
              <w:t xml:space="preserve">[DATE, no later than 12 months after approval]</w:t>
            </w:r>
          </w:p>
        </w:tc>
      </w:tr>
      <w:tr>
        <w:tc>
          <w:tcPr>
            <w:tcW w:type="dxa" w:w="28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Classification</w:t>
            </w:r>
          </w:p>
        </w:tc>
        <w:tc>
          <w:tcPr>
            <w:tcW w:type="dxa" w:w="62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highlight w:val="yellow"/>
              </w:rPr>
              <w:t xml:space="preserve">[Internal]</w:t>
            </w:r>
          </w:p>
        </w:tc>
      </w:tr>
    </w:tbl>
    <w:p>
      <w:pPr>
        <w:spacing w:after="120"/>
      </w:pPr>
    </w:p>
    <w:p>
      <w:pPr>
        <w:pStyle w:val="Heading1"/>
      </w:pPr>
      <w:r>
        <w:rPr>
          <w:rFonts w:ascii="Arial" w:cs="Arial" w:eastAsia="Arial" w:hAnsi="Arial"/>
        </w:rPr>
        <w:t xml:space="preserve">1. Purpose</w:t>
      </w:r>
    </w:p>
    <w:p>
      <w:pPr>
        <w:spacing w:after="120"/>
      </w:pPr>
      <w:r>
        <w:rPr>
          <w:rFonts w:ascii="Arial" w:cs="Arial" w:eastAsia="Arial" w:hAnsi="Arial"/>
        </w:rPr>
        <w:t xml:space="preserve">This policy sets out how </w:t>
      </w:r>
      <w:r>
        <w:rPr>
          <w:rFonts w:ascii="Arial" w:cs="Arial" w:eastAsia="Arial" w:hAnsi="Arial"/>
          <w:highlight w:val="yellow"/>
        </w:rPr>
        <w:t xml:space="preserve">[ORGANISATION NAME]</w:t>
      </w:r>
      <w:r>
        <w:rPr>
          <w:rFonts w:ascii="Arial" w:cs="Arial" w:eastAsia="Arial" w:hAnsi="Arial"/>
        </w:rPr>
        <w:t xml:space="preserve"> identifies, prioritises, remediates and reports on technical vulnerabilities in its systems. Its aim is to reduce the risk of compromise by making sure weaknesses are fixed in a timely, risk-based and accountable way.</w:t>
      </w:r>
    </w:p>
    <w:p>
      <w:pPr>
        <w:pStyle w:val="Heading1"/>
      </w:pPr>
      <w:r>
        <w:rPr>
          <w:rFonts w:ascii="Arial" w:cs="Arial" w:eastAsia="Arial" w:hAnsi="Arial"/>
        </w:rPr>
        <w:t xml:space="preserve">2. Scope</w:t>
      </w:r>
    </w:p>
    <w:p>
      <w:pPr>
        <w:spacing w:after="120"/>
      </w:pPr>
      <w:r>
        <w:rPr>
          <w:rFonts w:ascii="Arial" w:cs="Arial" w:eastAsia="Arial" w:hAnsi="Arial"/>
        </w:rPr>
        <w:t xml:space="preserve">This policy applies to:</w:t>
      </w:r>
    </w:p>
    <w:p>
      <w:pPr>
        <w:pStyle w:val="ListParagraph"/>
        <w:numPr>
          <w:ilvl w:val="0"/>
          <w:numId w:val="2"/>
        </w:numPr>
        <w:spacing w:after="60"/>
      </w:pPr>
      <w:r>
        <w:rPr>
          <w:rFonts w:ascii="Arial" w:cs="Arial" w:eastAsia="Arial" w:hAnsi="Arial"/>
        </w:rPr>
        <w:t xml:space="preserve">all information systems owned, managed or used by </w:t>
      </w:r>
      <w:r>
        <w:rPr>
          <w:rFonts w:ascii="Arial" w:cs="Arial" w:eastAsia="Arial" w:hAnsi="Arial"/>
          <w:highlight w:val="yellow"/>
        </w:rPr>
        <w:t xml:space="preserve">[ORGANISATION NAME]</w:t>
      </w:r>
      <w:r>
        <w:rPr>
          <w:rFonts w:ascii="Arial" w:cs="Arial" w:eastAsia="Arial" w:hAnsi="Arial"/>
        </w:rPr>
        <w:t xml:space="preserve">, including servers, end-user devices, network devices, cloud services, containers and applications;</w:t>
      </w:r>
    </w:p>
    <w:p>
      <w:pPr>
        <w:pStyle w:val="ListParagraph"/>
        <w:numPr>
          <w:ilvl w:val="0"/>
          <w:numId w:val="2"/>
        </w:numPr>
        <w:spacing w:after="60"/>
      </w:pPr>
      <w:r>
        <w:rPr>
          <w:rFonts w:ascii="Arial" w:cs="Arial" w:eastAsia="Arial" w:hAnsi="Arial"/>
        </w:rPr>
        <w:t xml:space="preserve">systems hosted or managed by third parties on behalf of </w:t>
      </w:r>
      <w:r>
        <w:rPr>
          <w:rFonts w:ascii="Arial" w:cs="Arial" w:eastAsia="Arial" w:hAnsi="Arial"/>
          <w:highlight w:val="yellow"/>
        </w:rPr>
        <w:t xml:space="preserve">[ORGANISATION NAME]</w:t>
      </w:r>
      <w:r>
        <w:rPr>
          <w:rFonts w:ascii="Arial" w:cs="Arial" w:eastAsia="Arial" w:hAnsi="Arial"/>
        </w:rPr>
        <w:t xml:space="preserve">;</w:t>
      </w:r>
    </w:p>
    <w:p>
      <w:pPr>
        <w:pStyle w:val="ListParagraph"/>
        <w:numPr>
          <w:ilvl w:val="0"/>
          <w:numId w:val="2"/>
        </w:numPr>
        <w:spacing w:after="60"/>
      </w:pPr>
      <w:r>
        <w:rPr>
          <w:rFonts w:ascii="Arial" w:cs="Arial" w:eastAsia="Arial" w:hAnsi="Arial"/>
        </w:rPr>
        <w:t xml:space="preserve">all employees, contractors and suppliers responsible for operating or maintaining those systems.</w:t>
      </w:r>
    </w:p>
    <w:p>
      <w:pPr>
        <w:pStyle w:val="Heading1"/>
      </w:pPr>
      <w:r>
        <w:rPr>
          <w:rFonts w:ascii="Arial" w:cs="Arial" w:eastAsia="Arial" w:hAnsi="Arial"/>
        </w:rPr>
        <w:t xml:space="preserve">3. Definitions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rPr>
          <w:tblHeader/>
        </w:trPr>
        <w:tc>
          <w:tcPr>
            <w:tcW w:type="dxa" w:w="2800"/>
            <w:tcBorders>
              <w:top w:val="single" w:color="D1D5DB" w:sz="4"/>
              <w:left w:val="single" w:color="D1D5DB" w:sz="4"/>
              <w:bottom w:val="single" w:color="D1D5DB" w:sz="4"/>
              <w:right w:val="single" w:color="D1D5DB" w:sz="4"/>
            </w:tcBorders>
            <w:shd w:fill="14233A" w:color="auto" w:val="clear"/>
            <w:tcMar>
              <w:top w:type="dxa" w:w="60"/>
              <w:left w:type="dxa" w:w="100"/>
              <w:bottom w:type="dxa" w:w="60"/>
              <w:right w:type="dxa" w:w="100"/>
            </w:tcMar>
          </w:tcPr>
          <w:p>
            <w:r>
              <w:rPr>
                <w:rFonts w:ascii="Arial" w:cs="Arial" w:eastAsia="Arial" w:hAnsi="Arial"/>
                <w:b/>
                <w:bCs/>
                <w:color w:val="FFFFFF"/>
                <w:sz w:val="19"/>
                <w:szCs w:val="19"/>
              </w:rPr>
              <w:t xml:space="preserve">Term</w:t>
            </w:r>
          </w:p>
        </w:tc>
        <w:tc>
          <w:tcPr>
            <w:tcW w:type="dxa" w:w="6226"/>
            <w:tcBorders>
              <w:top w:val="single" w:color="D1D5DB" w:sz="4"/>
              <w:left w:val="single" w:color="D1D5DB" w:sz="4"/>
              <w:bottom w:val="single" w:color="D1D5DB" w:sz="4"/>
              <w:right w:val="single" w:color="D1D5DB" w:sz="4"/>
            </w:tcBorders>
            <w:shd w:fill="14233A" w:color="auto" w:val="clear"/>
            <w:tcMar>
              <w:top w:type="dxa" w:w="60"/>
              <w:left w:type="dxa" w:w="100"/>
              <w:bottom w:type="dxa" w:w="60"/>
              <w:right w:type="dxa" w:w="100"/>
            </w:tcMar>
          </w:tcPr>
          <w:p>
            <w:r>
              <w:rPr>
                <w:rFonts w:ascii="Arial" w:cs="Arial" w:eastAsia="Arial" w:hAnsi="Arial"/>
                <w:b/>
                <w:bCs/>
                <w:color w:val="FFFFFF"/>
                <w:sz w:val="19"/>
                <w:szCs w:val="19"/>
              </w:rPr>
              <w:t xml:space="preserve">Meaning</w:t>
            </w:r>
          </w:p>
        </w:tc>
      </w:tr>
      <w:tr>
        <w:tc>
          <w:tcPr>
            <w:tcW w:type="dxa" w:w="28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Vulnerability</w:t>
            </w:r>
          </w:p>
        </w:tc>
        <w:tc>
          <w:tcPr>
            <w:tcW w:type="dxa" w:w="62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A weakness in software, hardware, configuration or process that could be exploited to compromise confidentiality, integrity or availability.</w:t>
            </w:r>
          </w:p>
        </w:tc>
      </w:tr>
      <w:tr>
        <w:tc>
          <w:tcPr>
            <w:tcW w:type="dxa" w:w="28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CVSS</w:t>
            </w:r>
          </w:p>
        </w:tc>
        <w:tc>
          <w:tcPr>
            <w:tcW w:type="dxa" w:w="62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Common Vulnerability Scoring System: an industry-standard severity score from 0.0 to 10.0.</w:t>
            </w:r>
          </w:p>
        </w:tc>
      </w:tr>
      <w:tr>
        <w:tc>
          <w:tcPr>
            <w:tcW w:type="dxa" w:w="28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Known exploited vulnerability</w:t>
            </w:r>
          </w:p>
        </w:tc>
        <w:tc>
          <w:tcPr>
            <w:tcW w:type="dxa" w:w="62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A vulnerability with evidence of active exploitation, for example listed in the CISA Known Exploited Vulnerabilities (KEV) catalogue.</w:t>
            </w:r>
          </w:p>
        </w:tc>
      </w:tr>
      <w:tr>
        <w:tc>
          <w:tcPr>
            <w:tcW w:type="dxa" w:w="28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Internet-facing</w:t>
            </w:r>
          </w:p>
        </w:tc>
        <w:tc>
          <w:tcPr>
            <w:tcW w:type="dxa" w:w="62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Any system or service directly reachable from the public internet.</w:t>
            </w:r>
          </w:p>
        </w:tc>
      </w:tr>
      <w:tr>
        <w:tc>
          <w:tcPr>
            <w:tcW w:type="dxa" w:w="28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Exception</w:t>
            </w:r>
          </w:p>
        </w:tc>
        <w:tc>
          <w:tcPr>
            <w:tcW w:type="dxa" w:w="62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A formally approved, time-limited acceptance of a vulnerability that cannot be remediated within the required timeline.</w:t>
            </w:r>
          </w:p>
        </w:tc>
      </w:tr>
    </w:tbl>
    <w:p>
      <w:pPr>
        <w:spacing w:after="120"/>
      </w:pPr>
    </w:p>
    <w:p>
      <w:pPr>
        <w:pStyle w:val="Heading1"/>
      </w:pPr>
      <w:r>
        <w:rPr>
          <w:rFonts w:ascii="Arial" w:cs="Arial" w:eastAsia="Arial" w:hAnsi="Arial"/>
        </w:rPr>
        <w:t xml:space="preserve">4. Roles and responsibilities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800"/>
        <w:gridCol w:w="6226"/>
      </w:tblGrid>
      <w:tr>
        <w:trPr>
          <w:tblHeader/>
        </w:trPr>
        <w:tc>
          <w:tcPr>
            <w:tcW w:type="dxa" w:w="2800"/>
            <w:tcBorders>
              <w:top w:val="single" w:color="D1D5DB" w:sz="4"/>
              <w:left w:val="single" w:color="D1D5DB" w:sz="4"/>
              <w:bottom w:val="single" w:color="D1D5DB" w:sz="4"/>
              <w:right w:val="single" w:color="D1D5DB" w:sz="4"/>
            </w:tcBorders>
            <w:shd w:fill="14233A" w:color="auto" w:val="clear"/>
            <w:tcMar>
              <w:top w:type="dxa" w:w="60"/>
              <w:left w:type="dxa" w:w="100"/>
              <w:bottom w:type="dxa" w:w="60"/>
              <w:right w:type="dxa" w:w="100"/>
            </w:tcMar>
          </w:tcPr>
          <w:p>
            <w:r>
              <w:rPr>
                <w:rFonts w:ascii="Arial" w:cs="Arial" w:eastAsia="Arial" w:hAnsi="Arial"/>
                <w:b/>
                <w:bCs/>
                <w:color w:val="FFFFFF"/>
                <w:sz w:val="19"/>
                <w:szCs w:val="19"/>
              </w:rPr>
              <w:t xml:space="preserve">Role</w:t>
            </w:r>
          </w:p>
        </w:tc>
        <w:tc>
          <w:tcPr>
            <w:tcW w:type="dxa" w:w="6226"/>
            <w:tcBorders>
              <w:top w:val="single" w:color="D1D5DB" w:sz="4"/>
              <w:left w:val="single" w:color="D1D5DB" w:sz="4"/>
              <w:bottom w:val="single" w:color="D1D5DB" w:sz="4"/>
              <w:right w:val="single" w:color="D1D5DB" w:sz="4"/>
            </w:tcBorders>
            <w:shd w:fill="14233A" w:color="auto" w:val="clear"/>
            <w:tcMar>
              <w:top w:type="dxa" w:w="60"/>
              <w:left w:type="dxa" w:w="100"/>
              <w:bottom w:type="dxa" w:w="60"/>
              <w:right w:type="dxa" w:w="100"/>
            </w:tcMar>
          </w:tcPr>
          <w:p>
            <w:r>
              <w:rPr>
                <w:rFonts w:ascii="Arial" w:cs="Arial" w:eastAsia="Arial" w:hAnsi="Arial"/>
                <w:b/>
                <w:bCs/>
                <w:color w:val="FFFFFF"/>
                <w:sz w:val="19"/>
                <w:szCs w:val="19"/>
              </w:rPr>
              <w:t xml:space="preserve">Responsibilities</w:t>
            </w:r>
          </w:p>
        </w:tc>
      </w:tr>
      <w:tr>
        <w:tc>
          <w:tcPr>
            <w:tcW w:type="dxa" w:w="28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highlight w:val="yellow"/>
              </w:rPr>
              <w:t xml:space="preserve">[Head of Information Security]</w:t>
            </w:r>
          </w:p>
        </w:tc>
        <w:tc>
          <w:tcPr>
            <w:tcW w:type="dxa" w:w="62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Owns this policy, approves exceptions above </w:t>
            </w:r>
            <w:r>
              <w:rPr>
                <w:rFonts w:ascii="Arial" w:cs="Arial" w:eastAsia="Arial" w:hAnsi="Arial"/>
                <w:sz w:val="19"/>
                <w:szCs w:val="19"/>
                <w:highlight w:val="yellow"/>
              </w:rPr>
              <w:t xml:space="preserve">[Medium]</w:t>
            </w:r>
            <w:r>
              <w:rPr>
                <w:rFonts w:ascii="Arial" w:cs="Arial" w:eastAsia="Arial" w:hAnsi="Arial"/>
                <w:sz w:val="19"/>
                <w:szCs w:val="19"/>
              </w:rPr>
              <w:t xml:space="preserve"> risk and reports vulnerability risk to senior management.</w:t>
            </w:r>
          </w:p>
        </w:tc>
      </w:tr>
      <w:tr>
        <w:tc>
          <w:tcPr>
            <w:tcW w:type="dxa" w:w="28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Vulnerability management team</w:t>
            </w:r>
          </w:p>
        </w:tc>
        <w:tc>
          <w:tcPr>
            <w:tcW w:type="dxa" w:w="62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Operates scanning tools, validates and prioritises findings, assigns remediation and tracks progress.</w:t>
            </w:r>
          </w:p>
        </w:tc>
      </w:tr>
      <w:tr>
        <w:tc>
          <w:tcPr>
            <w:tcW w:type="dxa" w:w="28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System and asset owners</w:t>
            </w:r>
          </w:p>
        </w:tc>
        <w:tc>
          <w:tcPr>
            <w:tcW w:type="dxa" w:w="62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Make sure their systems are in the asset inventory, are scanned, and are remediated within the required timelines.</w:t>
            </w:r>
          </w:p>
        </w:tc>
      </w:tr>
      <w:tr>
        <w:tc>
          <w:tcPr>
            <w:tcW w:type="dxa" w:w="28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IT operations and engineering</w:t>
            </w:r>
          </w:p>
        </w:tc>
        <w:tc>
          <w:tcPr>
            <w:tcW w:type="dxa" w:w="62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Apply patches and configuration changes, and confirm when remediation is complete.</w:t>
            </w:r>
          </w:p>
        </w:tc>
      </w:tr>
      <w:tr>
        <w:tc>
          <w:tcPr>
            <w:tcW w:type="dxa" w:w="28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Third-party suppliers</w:t>
            </w:r>
          </w:p>
        </w:tc>
        <w:tc>
          <w:tcPr>
            <w:tcW w:type="dxa" w:w="62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Remediate vulnerabilities in systems they manage, in line with this policy and their contracts.</w:t>
            </w:r>
          </w:p>
        </w:tc>
      </w:tr>
    </w:tbl>
    <w:p>
      <w:pPr>
        <w:spacing w:after="120"/>
      </w:pPr>
    </w:p>
    <w:p>
      <w:pPr>
        <w:pStyle w:val="Heading1"/>
      </w:pPr>
      <w:r>
        <w:rPr>
          <w:rFonts w:ascii="Arial" w:cs="Arial" w:eastAsia="Arial" w:hAnsi="Arial"/>
        </w:rPr>
        <w:t xml:space="preserve">5. Policy statements</w:t>
      </w:r>
    </w:p>
    <w:p>
      <w:pPr>
        <w:pStyle w:val="Heading2"/>
      </w:pPr>
      <w:r>
        <w:rPr>
          <w:rFonts w:ascii="Arial" w:cs="Arial" w:eastAsia="Arial" w:hAnsi="Arial"/>
        </w:rPr>
        <w:t xml:space="preserve">5.1 Asset inventory</w:t>
      </w:r>
    </w:p>
    <w:p>
      <w:pPr>
        <w:spacing w:after="120"/>
      </w:pPr>
      <w:r>
        <w:rPr>
          <w:rFonts w:ascii="Arial" w:cs="Arial" w:eastAsia="Arial" w:hAnsi="Arial"/>
        </w:rPr>
        <w:t xml:space="preserve">An accurate inventory of hardware, software and cloud assets must be maintained. Each asset must have a named owner and a criticality rating. Assets that are not in the inventory cannot be reliably protected and must be investigated.</w:t>
      </w:r>
    </w:p>
    <w:p>
      <w:pPr>
        <w:pStyle w:val="Heading2"/>
      </w:pPr>
      <w:r>
        <w:rPr>
          <w:rFonts w:ascii="Arial" w:cs="Arial" w:eastAsia="Arial" w:hAnsi="Arial"/>
        </w:rPr>
        <w:t xml:space="preserve">5.2 Identifying vulnerabilities</w:t>
      </w:r>
    </w:p>
    <w:p>
      <w:pPr>
        <w:spacing w:after="120"/>
      </w:pPr>
      <w:r>
        <w:rPr>
          <w:rFonts w:ascii="Arial" w:cs="Arial" w:eastAsia="Arial" w:hAnsi="Arial"/>
        </w:rPr>
        <w:t xml:space="preserve">Vulnerabilities must be identified using authenticated scanning wherever possible, at no less than the following frequencies: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200"/>
        <w:gridCol w:w="4826"/>
      </w:tblGrid>
      <w:tr>
        <w:trPr>
          <w:tblHeader/>
        </w:trPr>
        <w:tc>
          <w:tcPr>
            <w:tcW w:type="dxa" w:w="4200"/>
            <w:tcBorders>
              <w:top w:val="single" w:color="D1D5DB" w:sz="4"/>
              <w:left w:val="single" w:color="D1D5DB" w:sz="4"/>
              <w:bottom w:val="single" w:color="D1D5DB" w:sz="4"/>
              <w:right w:val="single" w:color="D1D5DB" w:sz="4"/>
            </w:tcBorders>
            <w:shd w:fill="14233A" w:color="auto" w:val="clear"/>
            <w:tcMar>
              <w:top w:type="dxa" w:w="60"/>
              <w:left w:type="dxa" w:w="100"/>
              <w:bottom w:type="dxa" w:w="60"/>
              <w:right w:type="dxa" w:w="100"/>
            </w:tcMar>
          </w:tcPr>
          <w:p>
            <w:r>
              <w:rPr>
                <w:rFonts w:ascii="Arial" w:cs="Arial" w:eastAsia="Arial" w:hAnsi="Arial"/>
                <w:b/>
                <w:bCs/>
                <w:color w:val="FFFFFF"/>
                <w:sz w:val="19"/>
                <w:szCs w:val="19"/>
              </w:rPr>
              <w:t xml:space="preserve">Asset type</w:t>
            </w:r>
          </w:p>
        </w:tc>
        <w:tc>
          <w:tcPr>
            <w:tcW w:type="dxa" w:w="4826"/>
            <w:tcBorders>
              <w:top w:val="single" w:color="D1D5DB" w:sz="4"/>
              <w:left w:val="single" w:color="D1D5DB" w:sz="4"/>
              <w:bottom w:val="single" w:color="D1D5DB" w:sz="4"/>
              <w:right w:val="single" w:color="D1D5DB" w:sz="4"/>
            </w:tcBorders>
            <w:shd w:fill="14233A" w:color="auto" w:val="clear"/>
            <w:tcMar>
              <w:top w:type="dxa" w:w="60"/>
              <w:left w:type="dxa" w:w="100"/>
              <w:bottom w:type="dxa" w:w="60"/>
              <w:right w:type="dxa" w:w="100"/>
            </w:tcMar>
          </w:tcPr>
          <w:p>
            <w:r>
              <w:rPr>
                <w:rFonts w:ascii="Arial" w:cs="Arial" w:eastAsia="Arial" w:hAnsi="Arial"/>
                <w:b/>
                <w:bCs/>
                <w:color w:val="FFFFFF"/>
                <w:sz w:val="19"/>
                <w:szCs w:val="19"/>
              </w:rPr>
              <w:t xml:space="preserve">Minimum frequency</w:t>
            </w:r>
          </w:p>
        </w:tc>
      </w:tr>
      <w:tr>
        <w:tc>
          <w:tcPr>
            <w:tcW w:type="dxa" w:w="42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Internet-facing systems and services</w:t>
            </w:r>
          </w:p>
        </w:tc>
        <w:tc>
          <w:tcPr>
            <w:tcW w:type="dxa" w:w="48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highlight w:val="yellow"/>
              </w:rPr>
              <w:t xml:space="preserve">[Weekly]</w:t>
            </w:r>
            <w:r>
              <w:rPr>
                <w:rFonts w:ascii="Arial" w:cs="Arial" w:eastAsia="Arial" w:hAnsi="Arial"/>
                <w:sz w:val="19"/>
                <w:szCs w:val="19"/>
              </w:rPr>
              <w:t xml:space="preserve">, and after any significant change</w:t>
            </w:r>
          </w:p>
        </w:tc>
      </w:tr>
      <w:tr>
        <w:tc>
          <w:tcPr>
            <w:tcW w:type="dxa" w:w="42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Internal servers and network devices</w:t>
            </w:r>
          </w:p>
        </w:tc>
        <w:tc>
          <w:tcPr>
            <w:tcW w:type="dxa" w:w="48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highlight w:val="yellow"/>
              </w:rPr>
              <w:t xml:space="preserve">[Monthly]</w:t>
            </w:r>
            <w:r>
              <w:rPr>
                <w:rFonts w:ascii="Arial" w:cs="Arial" w:eastAsia="Arial" w:hAnsi="Arial"/>
                <w:sz w:val="19"/>
                <w:szCs w:val="19"/>
              </w:rPr>
              <w:t xml:space="preserve">, authenticated</w:t>
            </w:r>
          </w:p>
        </w:tc>
      </w:tr>
      <w:tr>
        <w:tc>
          <w:tcPr>
            <w:tcW w:type="dxa" w:w="42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End-user devices</w:t>
            </w:r>
          </w:p>
        </w:tc>
        <w:tc>
          <w:tcPr>
            <w:tcW w:type="dxa" w:w="48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Continuous via endpoint agent, or </w:t>
            </w:r>
            <w:r>
              <w:rPr>
                <w:rFonts w:ascii="Arial" w:cs="Arial" w:eastAsia="Arial" w:hAnsi="Arial"/>
                <w:sz w:val="19"/>
                <w:szCs w:val="19"/>
                <w:highlight w:val="yellow"/>
              </w:rPr>
              <w:t xml:space="preserve">[monthly]</w:t>
            </w:r>
          </w:p>
        </w:tc>
      </w:tr>
      <w:tr>
        <w:tc>
          <w:tcPr>
            <w:tcW w:type="dxa" w:w="42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Web applications and APIs</w:t>
            </w:r>
          </w:p>
        </w:tc>
        <w:tc>
          <w:tcPr>
            <w:tcW w:type="dxa" w:w="48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Before each major release and at least </w:t>
            </w:r>
            <w:r>
              <w:rPr>
                <w:rFonts w:ascii="Arial" w:cs="Arial" w:eastAsia="Arial" w:hAnsi="Arial"/>
                <w:sz w:val="19"/>
                <w:szCs w:val="19"/>
                <w:highlight w:val="yellow"/>
              </w:rPr>
              <w:t xml:space="preserve">[quarterly]</w:t>
            </w:r>
          </w:p>
        </w:tc>
      </w:tr>
      <w:tr>
        <w:tc>
          <w:tcPr>
            <w:tcW w:type="dxa" w:w="42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Cloud configuration</w:t>
            </w:r>
          </w:p>
        </w:tc>
        <w:tc>
          <w:tcPr>
            <w:tcW w:type="dxa" w:w="48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Continuous via cloud security posture management, or </w:t>
            </w:r>
            <w:r>
              <w:rPr>
                <w:rFonts w:ascii="Arial" w:cs="Arial" w:eastAsia="Arial" w:hAnsi="Arial"/>
                <w:sz w:val="19"/>
                <w:szCs w:val="19"/>
                <w:highlight w:val="yellow"/>
              </w:rPr>
              <w:t xml:space="preserve">[weekly]</w:t>
            </w:r>
          </w:p>
        </w:tc>
      </w:tr>
      <w:tr>
        <w:tc>
          <w:tcPr>
            <w:tcW w:type="dxa" w:w="42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Independent penetration testing</w:t>
            </w:r>
          </w:p>
        </w:tc>
        <w:tc>
          <w:tcPr>
            <w:tcW w:type="dxa" w:w="48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At least </w:t>
            </w:r>
            <w:r>
              <w:rPr>
                <w:rFonts w:ascii="Arial" w:cs="Arial" w:eastAsia="Arial" w:hAnsi="Arial"/>
                <w:sz w:val="19"/>
                <w:szCs w:val="19"/>
                <w:highlight w:val="yellow"/>
              </w:rPr>
              <w:t xml:space="preserve">[annually]</w:t>
            </w:r>
            <w:r>
              <w:rPr>
                <w:rFonts w:ascii="Arial" w:cs="Arial" w:eastAsia="Arial" w:hAnsi="Arial"/>
                <w:sz w:val="19"/>
                <w:szCs w:val="19"/>
              </w:rPr>
              <w:t xml:space="preserve"> and after major changes</w:t>
            </w:r>
          </w:p>
        </w:tc>
      </w:tr>
    </w:tbl>
    <w:p>
      <w:pPr>
        <w:spacing w:after="120"/>
      </w:pPr>
    </w:p>
    <w:p>
      <w:pPr>
        <w:spacing w:after="120"/>
      </w:pPr>
      <w:r>
        <w:rPr>
          <w:rFonts w:ascii="Arial" w:cs="Arial" w:eastAsia="Arial" w:hAnsi="Arial"/>
        </w:rPr>
        <w:t xml:space="preserve">The security team must also monitor vendor advisories, NCSC and CISA alerts and threat intelligence for newly disclosed vulnerabilities affecting the estate, and act on them without waiting for the next scheduled scan.</w:t>
      </w:r>
    </w:p>
    <w:p>
      <w:pPr>
        <w:pStyle w:val="Heading2"/>
      </w:pPr>
      <w:r>
        <w:rPr>
          <w:rFonts w:ascii="Arial" w:cs="Arial" w:eastAsia="Arial" w:hAnsi="Arial"/>
        </w:rPr>
        <w:t xml:space="preserve">5.3 Prioritisation</w:t>
      </w:r>
    </w:p>
    <w:p>
      <w:pPr>
        <w:spacing w:after="120"/>
      </w:pPr>
      <w:r>
        <w:rPr>
          <w:rFonts w:ascii="Arial" w:cs="Arial" w:eastAsia="Arial" w:hAnsi="Arial"/>
        </w:rPr>
        <w:t xml:space="preserve">Findings must be prioritised by risk, not by CVSS score alone. The following factors must be considered:</w:t>
      </w:r>
    </w:p>
    <w:p>
      <w:pPr>
        <w:pStyle w:val="ListParagraph"/>
        <w:numPr>
          <w:ilvl w:val="0"/>
          <w:numId w:val="2"/>
        </w:numPr>
        <w:spacing w:after="60"/>
      </w:pPr>
      <w:r>
        <w:rPr>
          <w:rFonts w:ascii="Arial" w:cs="Arial" w:eastAsia="Arial" w:hAnsi="Arial"/>
          <w:b/>
          <w:bCs/>
        </w:rPr>
        <w:t xml:space="preserve">Exploitation:</w:t>
      </w:r>
      <w:r>
        <w:rPr>
          <w:rFonts w:ascii="Arial" w:cs="Arial" w:eastAsia="Arial" w:hAnsi="Arial"/>
        </w:rPr>
        <w:t xml:space="preserve"> whether the vulnerability is known to be exploited in the wild;</w:t>
      </w:r>
    </w:p>
    <w:p>
      <w:pPr>
        <w:pStyle w:val="ListParagraph"/>
        <w:numPr>
          <w:ilvl w:val="0"/>
          <w:numId w:val="2"/>
        </w:numPr>
        <w:spacing w:after="60"/>
      </w:pPr>
      <w:r>
        <w:rPr>
          <w:rFonts w:ascii="Arial" w:cs="Arial" w:eastAsia="Arial" w:hAnsi="Arial"/>
          <w:b/>
          <w:bCs/>
        </w:rPr>
        <w:t xml:space="preserve">Exposure:</w:t>
      </w:r>
      <w:r>
        <w:rPr>
          <w:rFonts w:ascii="Arial" w:cs="Arial" w:eastAsia="Arial" w:hAnsi="Arial"/>
        </w:rPr>
        <w:t xml:space="preserve"> whether the affected system is internet-facing or reachable by untrusted users;</w:t>
      </w:r>
    </w:p>
    <w:p>
      <w:pPr>
        <w:pStyle w:val="ListParagraph"/>
        <w:numPr>
          <w:ilvl w:val="0"/>
          <w:numId w:val="2"/>
        </w:numPr>
        <w:spacing w:after="60"/>
      </w:pPr>
      <w:r>
        <w:rPr>
          <w:rFonts w:ascii="Arial" w:cs="Arial" w:eastAsia="Arial" w:hAnsi="Arial"/>
          <w:b/>
          <w:bCs/>
        </w:rPr>
        <w:t xml:space="preserve">Asset criticality:</w:t>
      </w:r>
      <w:r>
        <w:rPr>
          <w:rFonts w:ascii="Arial" w:cs="Arial" w:eastAsia="Arial" w:hAnsi="Arial"/>
        </w:rPr>
        <w:t xml:space="preserve"> the business importance of the system and the sensitivity of its data;</w:t>
      </w:r>
    </w:p>
    <w:p>
      <w:pPr>
        <w:pStyle w:val="ListParagraph"/>
        <w:numPr>
          <w:ilvl w:val="0"/>
          <w:numId w:val="2"/>
        </w:numPr>
        <w:spacing w:after="60"/>
      </w:pPr>
      <w:r>
        <w:rPr>
          <w:rFonts w:ascii="Arial" w:cs="Arial" w:eastAsia="Arial" w:hAnsi="Arial"/>
          <w:b/>
          <w:bCs/>
        </w:rPr>
        <w:t xml:space="preserve">Mitigations:</w:t>
      </w:r>
      <w:r>
        <w:rPr>
          <w:rFonts w:ascii="Arial" w:cs="Arial" w:eastAsia="Arial" w:hAnsi="Arial"/>
        </w:rPr>
        <w:t xml:space="preserve"> existing compensating controls that reduce the likelihood or impact of exploitation.</w:t>
      </w:r>
    </w:p>
    <w:p>
      <w:pPr>
        <w:pStyle w:val="Heading2"/>
      </w:pPr>
      <w:r>
        <w:rPr>
          <w:rFonts w:ascii="Arial" w:cs="Arial" w:eastAsia="Arial" w:hAnsi="Arial"/>
        </w:rPr>
        <w:t xml:space="preserve">5.4 Remediation timelines</w:t>
      </w:r>
    </w:p>
    <w:p>
      <w:pPr>
        <w:spacing w:after="120"/>
      </w:pPr>
      <w:r>
        <w:rPr>
          <w:rFonts w:ascii="Arial" w:cs="Arial" w:eastAsia="Arial" w:hAnsi="Arial"/>
        </w:rPr>
        <w:t xml:space="preserve">Vulnerabilities must be remediated within the following timelines, measured from the date they are identified: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400"/>
        <w:gridCol w:w="3300"/>
        <w:gridCol w:w="3326"/>
      </w:tblGrid>
      <w:tr>
        <w:trPr>
          <w:tblHeader/>
        </w:trPr>
        <w:tc>
          <w:tcPr>
            <w:tcW w:type="dxa" w:w="2400"/>
            <w:tcBorders>
              <w:top w:val="single" w:color="D1D5DB" w:sz="4"/>
              <w:left w:val="single" w:color="D1D5DB" w:sz="4"/>
              <w:bottom w:val="single" w:color="D1D5DB" w:sz="4"/>
              <w:right w:val="single" w:color="D1D5DB" w:sz="4"/>
            </w:tcBorders>
            <w:shd w:fill="14233A" w:color="auto" w:val="clear"/>
            <w:tcMar>
              <w:top w:type="dxa" w:w="60"/>
              <w:left w:type="dxa" w:w="100"/>
              <w:bottom w:type="dxa" w:w="60"/>
              <w:right w:type="dxa" w:w="100"/>
            </w:tcMar>
          </w:tcPr>
          <w:p>
            <w:r>
              <w:rPr>
                <w:rFonts w:ascii="Arial" w:cs="Arial" w:eastAsia="Arial" w:hAnsi="Arial"/>
                <w:b/>
                <w:bCs/>
                <w:color w:val="FFFFFF"/>
                <w:sz w:val="19"/>
                <w:szCs w:val="19"/>
              </w:rPr>
              <w:t xml:space="preserve">Severity</w:t>
            </w:r>
          </w:p>
        </w:tc>
        <w:tc>
          <w:tcPr>
            <w:tcW w:type="dxa" w:w="3300"/>
            <w:tcBorders>
              <w:top w:val="single" w:color="D1D5DB" w:sz="4"/>
              <w:left w:val="single" w:color="D1D5DB" w:sz="4"/>
              <w:bottom w:val="single" w:color="D1D5DB" w:sz="4"/>
              <w:right w:val="single" w:color="D1D5DB" w:sz="4"/>
            </w:tcBorders>
            <w:shd w:fill="14233A" w:color="auto" w:val="clear"/>
            <w:tcMar>
              <w:top w:type="dxa" w:w="60"/>
              <w:left w:type="dxa" w:w="100"/>
              <w:bottom w:type="dxa" w:w="60"/>
              <w:right w:type="dxa" w:w="100"/>
            </w:tcMar>
          </w:tcPr>
          <w:p>
            <w:r>
              <w:rPr>
                <w:rFonts w:ascii="Arial" w:cs="Arial" w:eastAsia="Arial" w:hAnsi="Arial"/>
                <w:b/>
                <w:bCs/>
                <w:color w:val="FFFFFF"/>
                <w:sz w:val="19"/>
                <w:szCs w:val="19"/>
              </w:rPr>
              <w:t xml:space="preserve">Internet-facing or known exploited</w:t>
            </w:r>
          </w:p>
        </w:tc>
        <w:tc>
          <w:tcPr>
            <w:tcW w:type="dxa" w:w="3326"/>
            <w:tcBorders>
              <w:top w:val="single" w:color="D1D5DB" w:sz="4"/>
              <w:left w:val="single" w:color="D1D5DB" w:sz="4"/>
              <w:bottom w:val="single" w:color="D1D5DB" w:sz="4"/>
              <w:right w:val="single" w:color="D1D5DB" w:sz="4"/>
            </w:tcBorders>
            <w:shd w:fill="14233A" w:color="auto" w:val="clear"/>
            <w:tcMar>
              <w:top w:type="dxa" w:w="60"/>
              <w:left w:type="dxa" w:w="100"/>
              <w:bottom w:type="dxa" w:w="60"/>
              <w:right w:type="dxa" w:w="100"/>
            </w:tcMar>
          </w:tcPr>
          <w:p>
            <w:r>
              <w:rPr>
                <w:rFonts w:ascii="Arial" w:cs="Arial" w:eastAsia="Arial" w:hAnsi="Arial"/>
                <w:b/>
                <w:bCs/>
                <w:color w:val="FFFFFF"/>
                <w:sz w:val="19"/>
                <w:szCs w:val="19"/>
              </w:rPr>
              <w:t xml:space="preserve">All other systems</w:t>
            </w:r>
          </w:p>
        </w:tc>
      </w:tr>
      <w:tr>
        <w:tc>
          <w:tcPr>
            <w:tcW w:type="dxa" w:w="24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Critical (CVSS 9.0–10.0)</w:t>
            </w:r>
          </w:p>
        </w:tc>
        <w:tc>
          <w:tcPr>
            <w:tcW w:type="dxa" w:w="33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highlight w:val="yellow"/>
              </w:rPr>
              <w:t xml:space="preserve">[7 days]</w:t>
            </w:r>
          </w:p>
        </w:tc>
        <w:tc>
          <w:tcPr>
            <w:tcW w:type="dxa" w:w="33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highlight w:val="yellow"/>
              </w:rPr>
              <w:t xml:space="preserve">[14 days]</w:t>
            </w:r>
          </w:p>
        </w:tc>
      </w:tr>
      <w:tr>
        <w:tc>
          <w:tcPr>
            <w:tcW w:type="dxa" w:w="24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High (CVSS 7.0–8.9)</w:t>
            </w:r>
          </w:p>
        </w:tc>
        <w:tc>
          <w:tcPr>
            <w:tcW w:type="dxa" w:w="33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highlight w:val="yellow"/>
              </w:rPr>
              <w:t xml:space="preserve">[14 days]</w:t>
            </w:r>
          </w:p>
        </w:tc>
        <w:tc>
          <w:tcPr>
            <w:tcW w:type="dxa" w:w="33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highlight w:val="yellow"/>
              </w:rPr>
              <w:t xml:space="preserve">[14 days]</w:t>
            </w:r>
          </w:p>
        </w:tc>
      </w:tr>
      <w:tr>
        <w:tc>
          <w:tcPr>
            <w:tcW w:type="dxa" w:w="24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Medium (CVSS 4.0–6.9)</w:t>
            </w:r>
          </w:p>
        </w:tc>
        <w:tc>
          <w:tcPr>
            <w:tcW w:type="dxa" w:w="33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highlight w:val="yellow"/>
              </w:rPr>
              <w:t xml:space="preserve">[30 days]</w:t>
            </w:r>
          </w:p>
        </w:tc>
        <w:tc>
          <w:tcPr>
            <w:tcW w:type="dxa" w:w="33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highlight w:val="yellow"/>
              </w:rPr>
              <w:t xml:space="preserve">[60 days]</w:t>
            </w:r>
          </w:p>
        </w:tc>
      </w:tr>
      <w:tr>
        <w:tc>
          <w:tcPr>
            <w:tcW w:type="dxa" w:w="24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Low (CVSS 0.1–3.9)</w:t>
            </w:r>
          </w:p>
        </w:tc>
        <w:tc>
          <w:tcPr>
            <w:tcW w:type="dxa" w:w="33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highlight w:val="yellow"/>
              </w:rPr>
              <w:t xml:space="preserve">[90 days]</w:t>
            </w:r>
          </w:p>
        </w:tc>
        <w:tc>
          <w:tcPr>
            <w:tcW w:type="dxa" w:w="3326"/>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Next scheduled maintenance cycle</w:t>
            </w:r>
          </w:p>
        </w:tc>
      </w:tr>
    </w:tbl>
    <w:p>
      <w:pPr>
        <w:spacing w:after="120"/>
      </w:pPr>
    </w:p>
    <w:p>
      <w:pPr>
        <w:spacing w:after="120"/>
      </w:pPr>
      <w:r>
        <w:rPr>
          <w:rFonts w:ascii="Arial" w:cs="Arial" w:eastAsia="Arial" w:hAnsi="Arial"/>
          <w:i/>
          <w:iCs/>
          <w:color w:val="4B5563"/>
          <w:sz w:val="18"/>
          <w:szCs w:val="18"/>
        </w:rPr>
        <w:t xml:space="preserve">Note: organisations certified to UK Cyber Essentials must apply high-risk and critical security updates within 14 days of release. The timelines above are designed to meet that requirement.</w:t>
      </w:r>
    </w:p>
    <w:p>
      <w:pPr>
        <w:pStyle w:val="Heading2"/>
      </w:pPr>
      <w:r>
        <w:rPr>
          <w:rFonts w:ascii="Arial" w:cs="Arial" w:eastAsia="Arial" w:hAnsi="Arial"/>
        </w:rPr>
        <w:t xml:space="preserve">5.5 Verification</w:t>
      </w:r>
    </w:p>
    <w:p>
      <w:pPr>
        <w:spacing w:after="120"/>
      </w:pPr>
      <w:r>
        <w:rPr>
          <w:rFonts w:ascii="Arial" w:cs="Arial" w:eastAsia="Arial" w:hAnsi="Arial"/>
        </w:rPr>
        <w:t xml:space="preserve">Remediation must be verified by a rescan or other technical evidence before a finding is closed. Findings that reappear must be reopened and investigated for root cause.</w:t>
      </w:r>
    </w:p>
    <w:p>
      <w:pPr>
        <w:pStyle w:val="Heading2"/>
      </w:pPr>
      <w:r>
        <w:rPr>
          <w:rFonts w:ascii="Arial" w:cs="Arial" w:eastAsia="Arial" w:hAnsi="Arial"/>
        </w:rPr>
        <w:t xml:space="preserve">5.6 Exceptions and risk acceptance</w:t>
      </w:r>
    </w:p>
    <w:p>
      <w:pPr>
        <w:spacing w:after="120"/>
      </w:pPr>
      <w:r>
        <w:rPr>
          <w:rFonts w:ascii="Arial" w:cs="Arial" w:eastAsia="Arial" w:hAnsi="Arial"/>
        </w:rPr>
        <w:t xml:space="preserve">Where a vulnerability cannot be remediated in time, the asset owner must submit an exception request. Each exception must:</w:t>
      </w:r>
    </w:p>
    <w:p>
      <w:pPr>
        <w:pStyle w:val="ListParagraph"/>
        <w:numPr>
          <w:ilvl w:val="0"/>
          <w:numId w:val="2"/>
        </w:numPr>
        <w:spacing w:after="60"/>
      </w:pPr>
      <w:r>
        <w:rPr>
          <w:rFonts w:ascii="Arial" w:cs="Arial" w:eastAsia="Arial" w:hAnsi="Arial"/>
        </w:rPr>
        <w:t xml:space="preserve">describe the vulnerability, the affected assets and why it cannot be fixed in time;</w:t>
      </w:r>
    </w:p>
    <w:p>
      <w:pPr>
        <w:pStyle w:val="ListParagraph"/>
        <w:numPr>
          <w:ilvl w:val="0"/>
          <w:numId w:val="2"/>
        </w:numPr>
        <w:spacing w:after="60"/>
      </w:pPr>
      <w:r>
        <w:rPr>
          <w:rFonts w:ascii="Arial" w:cs="Arial" w:eastAsia="Arial" w:hAnsi="Arial"/>
        </w:rPr>
        <w:t xml:space="preserve">identify compensating controls, such as isolation, additional monitoring or disabling the affected feature;</w:t>
      </w:r>
    </w:p>
    <w:p>
      <w:pPr>
        <w:pStyle w:val="ListParagraph"/>
        <w:numPr>
          <w:ilvl w:val="0"/>
          <w:numId w:val="2"/>
        </w:numPr>
        <w:spacing w:after="60"/>
      </w:pPr>
      <w:r>
        <w:rPr>
          <w:rFonts w:ascii="Arial" w:cs="Arial" w:eastAsia="Arial" w:hAnsi="Arial"/>
        </w:rPr>
        <w:t xml:space="preserve">be approved by </w:t>
      </w:r>
      <w:r>
        <w:rPr>
          <w:rFonts w:ascii="Arial" w:cs="Arial" w:eastAsia="Arial" w:hAnsi="Arial"/>
          <w:highlight w:val="yellow"/>
        </w:rPr>
        <w:t xml:space="preserve">[the Head of Information Security]</w:t>
      </w:r>
      <w:r>
        <w:rPr>
          <w:rFonts w:ascii="Arial" w:cs="Arial" w:eastAsia="Arial" w:hAnsi="Arial"/>
        </w:rPr>
        <w:t xml:space="preserve"> for Critical and High findings, or by </w:t>
      </w:r>
      <w:r>
        <w:rPr>
          <w:rFonts w:ascii="Arial" w:cs="Arial" w:eastAsia="Arial" w:hAnsi="Arial"/>
          <w:highlight w:val="yellow"/>
        </w:rPr>
        <w:t xml:space="preserve">[the asset owner]</w:t>
      </w:r>
      <w:r>
        <w:rPr>
          <w:rFonts w:ascii="Arial" w:cs="Arial" w:eastAsia="Arial" w:hAnsi="Arial"/>
        </w:rPr>
        <w:t xml:space="preserve"> for Medium and Low findings;</w:t>
      </w:r>
    </w:p>
    <w:p>
      <w:pPr>
        <w:pStyle w:val="ListParagraph"/>
        <w:numPr>
          <w:ilvl w:val="0"/>
          <w:numId w:val="2"/>
        </w:numPr>
        <w:spacing w:after="60"/>
      </w:pPr>
      <w:r>
        <w:rPr>
          <w:rFonts w:ascii="Arial" w:cs="Arial" w:eastAsia="Arial" w:hAnsi="Arial"/>
        </w:rPr>
        <w:t xml:space="preserve">have an expiry date no more than </w:t>
      </w:r>
      <w:r>
        <w:rPr>
          <w:rFonts w:ascii="Arial" w:cs="Arial" w:eastAsia="Arial" w:hAnsi="Arial"/>
          <w:highlight w:val="yellow"/>
        </w:rPr>
        <w:t xml:space="preserve">[6 months]</w:t>
      </w:r>
      <w:r>
        <w:rPr>
          <w:rFonts w:ascii="Arial" w:cs="Arial" w:eastAsia="Arial" w:hAnsi="Arial"/>
        </w:rPr>
        <w:t xml:space="preserve"> away, and be recorded in the risk register.</w:t>
      </w:r>
    </w:p>
    <w:p>
      <w:pPr>
        <w:pStyle w:val="Heading2"/>
      </w:pPr>
      <w:r>
        <w:rPr>
          <w:rFonts w:ascii="Arial" w:cs="Arial" w:eastAsia="Arial" w:hAnsi="Arial"/>
        </w:rPr>
        <w:t xml:space="preserve">5.7 Third parties and suppliers</w:t>
      </w:r>
    </w:p>
    <w:p>
      <w:pPr>
        <w:spacing w:after="120"/>
      </w:pPr>
      <w:r>
        <w:rPr>
          <w:rFonts w:ascii="Arial" w:cs="Arial" w:eastAsia="Arial" w:hAnsi="Arial"/>
        </w:rPr>
        <w:t xml:space="preserve">Contracts with suppliers who host or manage systems for </w:t>
      </w:r>
      <w:r>
        <w:rPr>
          <w:rFonts w:ascii="Arial" w:cs="Arial" w:eastAsia="Arial" w:hAnsi="Arial"/>
          <w:highlight w:val="yellow"/>
        </w:rPr>
        <w:t xml:space="preserve">[ORGANISATION NAME]</w:t>
      </w:r>
      <w:r>
        <w:rPr>
          <w:rFonts w:ascii="Arial" w:cs="Arial" w:eastAsia="Arial" w:hAnsi="Arial"/>
        </w:rPr>
        <w:t xml:space="preserve"> must require them to manage vulnerabilities to a standard at least equivalent to this policy, and to notify </w:t>
      </w:r>
      <w:r>
        <w:rPr>
          <w:rFonts w:ascii="Arial" w:cs="Arial" w:eastAsia="Arial" w:hAnsi="Arial"/>
          <w:highlight w:val="yellow"/>
        </w:rPr>
        <w:t xml:space="preserve">[ORGANISATION NAME]</w:t>
      </w:r>
      <w:r>
        <w:rPr>
          <w:rFonts w:ascii="Arial" w:cs="Arial" w:eastAsia="Arial" w:hAnsi="Arial"/>
        </w:rPr>
        <w:t xml:space="preserve"> of critical vulnerabilities affecting its services within </w:t>
      </w:r>
      <w:r>
        <w:rPr>
          <w:rFonts w:ascii="Arial" w:cs="Arial" w:eastAsia="Arial" w:hAnsi="Arial"/>
          <w:highlight w:val="yellow"/>
        </w:rPr>
        <w:t xml:space="preserve">[48 hours]</w:t>
      </w:r>
      <w:r>
        <w:rPr>
          <w:rFonts w:ascii="Arial" w:cs="Arial" w:eastAsia="Arial" w:hAnsi="Arial"/>
        </w:rPr>
        <w:t xml:space="preserve">.</w:t>
      </w:r>
    </w:p>
    <w:p>
      <w:pPr>
        <w:pStyle w:val="Heading2"/>
      </w:pPr>
      <w:r>
        <w:rPr>
          <w:rFonts w:ascii="Arial" w:cs="Arial" w:eastAsia="Arial" w:hAnsi="Arial"/>
        </w:rPr>
        <w:t xml:space="preserve">5.8 Reporting and metrics</w:t>
      </w:r>
    </w:p>
    <w:p>
      <w:pPr>
        <w:spacing w:after="120"/>
      </w:pPr>
      <w:r>
        <w:rPr>
          <w:rFonts w:ascii="Arial" w:cs="Arial" w:eastAsia="Arial" w:hAnsi="Arial"/>
        </w:rPr>
        <w:t xml:space="preserve">The security team must report to </w:t>
      </w:r>
      <w:r>
        <w:rPr>
          <w:rFonts w:ascii="Arial" w:cs="Arial" w:eastAsia="Arial" w:hAnsi="Arial"/>
          <w:highlight w:val="yellow"/>
        </w:rPr>
        <w:t xml:space="preserve">[senior management / the risk committee]</w:t>
      </w:r>
      <w:r>
        <w:rPr>
          <w:rFonts w:ascii="Arial" w:cs="Arial" w:eastAsia="Arial" w:hAnsi="Arial"/>
        </w:rPr>
        <w:t xml:space="preserve"> at least </w:t>
      </w:r>
      <w:r>
        <w:rPr>
          <w:rFonts w:ascii="Arial" w:cs="Arial" w:eastAsia="Arial" w:hAnsi="Arial"/>
          <w:highlight w:val="yellow"/>
        </w:rPr>
        <w:t xml:space="preserve">[monthly]</w:t>
      </w:r>
      <w:r>
        <w:rPr>
          <w:rFonts w:ascii="Arial" w:cs="Arial" w:eastAsia="Arial" w:hAnsi="Arial"/>
        </w:rPr>
        <w:t xml:space="preserve"> on:</w:t>
      </w:r>
    </w:p>
    <w:p>
      <w:pPr>
        <w:pStyle w:val="ListParagraph"/>
        <w:numPr>
          <w:ilvl w:val="0"/>
          <w:numId w:val="2"/>
        </w:numPr>
        <w:spacing w:after="60"/>
      </w:pPr>
      <w:r>
        <w:rPr>
          <w:rFonts w:ascii="Arial" w:cs="Arial" w:eastAsia="Arial" w:hAnsi="Arial"/>
        </w:rPr>
        <w:t xml:space="preserve">the percentage of vulnerabilities remediated within the required timelines, by severity;</w:t>
      </w:r>
    </w:p>
    <w:p>
      <w:pPr>
        <w:pStyle w:val="ListParagraph"/>
        <w:numPr>
          <w:ilvl w:val="0"/>
          <w:numId w:val="2"/>
        </w:numPr>
        <w:spacing w:after="60"/>
      </w:pPr>
      <w:r>
        <w:rPr>
          <w:rFonts w:ascii="Arial" w:cs="Arial" w:eastAsia="Arial" w:hAnsi="Arial"/>
        </w:rPr>
        <w:t xml:space="preserve">mean time to remediate, by severity;</w:t>
      </w:r>
    </w:p>
    <w:p>
      <w:pPr>
        <w:pStyle w:val="ListParagraph"/>
        <w:numPr>
          <w:ilvl w:val="0"/>
          <w:numId w:val="2"/>
        </w:numPr>
        <w:spacing w:after="60"/>
      </w:pPr>
      <w:r>
        <w:rPr>
          <w:rFonts w:ascii="Arial" w:cs="Arial" w:eastAsia="Arial" w:hAnsi="Arial"/>
        </w:rPr>
        <w:t xml:space="preserve">the number and age of open Critical and High vulnerabilities;</w:t>
      </w:r>
    </w:p>
    <w:p>
      <w:pPr>
        <w:pStyle w:val="ListParagraph"/>
        <w:numPr>
          <w:ilvl w:val="0"/>
          <w:numId w:val="2"/>
        </w:numPr>
        <w:spacing w:after="60"/>
      </w:pPr>
      <w:r>
        <w:rPr>
          <w:rFonts w:ascii="Arial" w:cs="Arial" w:eastAsia="Arial" w:hAnsi="Arial"/>
        </w:rPr>
        <w:t xml:space="preserve">scan coverage as a percentage of assets in the inventory;</w:t>
      </w:r>
    </w:p>
    <w:p>
      <w:pPr>
        <w:pStyle w:val="ListParagraph"/>
        <w:numPr>
          <w:ilvl w:val="0"/>
          <w:numId w:val="2"/>
        </w:numPr>
        <w:spacing w:after="60"/>
      </w:pPr>
      <w:r>
        <w:rPr>
          <w:rFonts w:ascii="Arial" w:cs="Arial" w:eastAsia="Arial" w:hAnsi="Arial"/>
        </w:rPr>
        <w:t xml:space="preserve">active exceptions and their expiry dates.</w:t>
      </w:r>
    </w:p>
    <w:p>
      <w:pPr>
        <w:pStyle w:val="Heading1"/>
      </w:pPr>
      <w:r>
        <w:rPr>
          <w:rFonts w:ascii="Arial" w:cs="Arial" w:eastAsia="Arial" w:hAnsi="Arial"/>
        </w:rPr>
        <w:t xml:space="preserve">6. Compliance</w:t>
      </w:r>
    </w:p>
    <w:p>
      <w:pPr>
        <w:spacing w:after="120"/>
      </w:pPr>
      <w:r>
        <w:rPr>
          <w:rFonts w:ascii="Arial" w:cs="Arial" w:eastAsia="Arial" w:hAnsi="Arial"/>
        </w:rPr>
        <w:t xml:space="preserve">Compliance with this policy will be monitored through the metrics above and periodic audits. Failure to comply may result in systems being disconnected from the network until remediated, and may lead to disciplinary action in line with </w:t>
      </w:r>
      <w:r>
        <w:rPr>
          <w:rFonts w:ascii="Arial" w:cs="Arial" w:eastAsia="Arial" w:hAnsi="Arial"/>
          <w:highlight w:val="yellow"/>
        </w:rPr>
        <w:t xml:space="preserve">[ORGANISATION NAME]</w:t>
      </w:r>
      <w:r>
        <w:rPr>
          <w:rFonts w:ascii="Arial" w:cs="Arial" w:eastAsia="Arial" w:hAnsi="Arial"/>
        </w:rPr>
        <w:t xml:space="preserve">’s HR policies.</w:t>
      </w:r>
    </w:p>
    <w:p>
      <w:pPr>
        <w:pStyle w:val="Heading1"/>
      </w:pPr>
      <w:r>
        <w:rPr>
          <w:rFonts w:ascii="Arial" w:cs="Arial" w:eastAsia="Arial" w:hAnsi="Arial"/>
        </w:rPr>
        <w:t xml:space="preserve">7. Related documents</w:t>
      </w:r>
    </w:p>
    <w:p>
      <w:pPr>
        <w:pStyle w:val="ListParagraph"/>
        <w:numPr>
          <w:ilvl w:val="0"/>
          <w:numId w:val="2"/>
        </w:numPr>
        <w:spacing w:after="60"/>
      </w:pPr>
      <w:r>
        <w:rPr>
          <w:rFonts w:ascii="Arial" w:cs="Arial" w:eastAsia="Arial" w:hAnsi="Arial"/>
          <w:highlight w:val="yellow"/>
        </w:rPr>
        <w:t xml:space="preserve">[Information Security Policy]</w:t>
      </w:r>
    </w:p>
    <w:p>
      <w:pPr>
        <w:pStyle w:val="ListParagraph"/>
        <w:numPr>
          <w:ilvl w:val="0"/>
          <w:numId w:val="2"/>
        </w:numPr>
        <w:spacing w:after="60"/>
      </w:pPr>
      <w:r>
        <w:rPr>
          <w:rFonts w:ascii="Arial" w:cs="Arial" w:eastAsia="Arial" w:hAnsi="Arial"/>
          <w:highlight w:val="yellow"/>
        </w:rPr>
        <w:t xml:space="preserve">[Patch Management Procedure]</w:t>
      </w:r>
    </w:p>
    <w:p>
      <w:pPr>
        <w:pStyle w:val="ListParagraph"/>
        <w:numPr>
          <w:ilvl w:val="0"/>
          <w:numId w:val="2"/>
        </w:numPr>
        <w:spacing w:after="60"/>
      </w:pPr>
      <w:r>
        <w:rPr>
          <w:rFonts w:ascii="Arial" w:cs="Arial" w:eastAsia="Arial" w:hAnsi="Arial"/>
          <w:highlight w:val="yellow"/>
        </w:rPr>
        <w:t xml:space="preserve">[Risk Management Policy]</w:t>
      </w:r>
    </w:p>
    <w:p>
      <w:pPr>
        <w:pStyle w:val="ListParagraph"/>
        <w:numPr>
          <w:ilvl w:val="0"/>
          <w:numId w:val="2"/>
        </w:numPr>
        <w:spacing w:after="60"/>
      </w:pPr>
      <w:r>
        <w:rPr>
          <w:rFonts w:ascii="Arial" w:cs="Arial" w:eastAsia="Arial" w:hAnsi="Arial"/>
          <w:highlight w:val="yellow"/>
        </w:rPr>
        <w:t xml:space="preserve">[Incident Response Plan]</w:t>
      </w:r>
    </w:p>
    <w:p>
      <w:pPr>
        <w:pStyle w:val="ListParagraph"/>
        <w:numPr>
          <w:ilvl w:val="0"/>
          <w:numId w:val="2"/>
        </w:numPr>
        <w:spacing w:after="60"/>
      </w:pPr>
      <w:r>
        <w:rPr>
          <w:rFonts w:ascii="Arial" w:cs="Arial" w:eastAsia="Arial" w:hAnsi="Arial"/>
          <w:highlight w:val="yellow"/>
        </w:rPr>
        <w:t xml:space="preserve">[Asset Management Policy]</w:t>
      </w:r>
    </w:p>
    <w:p>
      <w:pPr>
        <w:pStyle w:val="Heading1"/>
      </w:pPr>
      <w:r>
        <w:rPr>
          <w:rFonts w:ascii="Arial" w:cs="Arial" w:eastAsia="Arial" w:hAnsi="Arial"/>
        </w:rPr>
        <w:t xml:space="preserve">8. Review</w:t>
      </w:r>
    </w:p>
    <w:p>
      <w:pPr>
        <w:spacing w:after="120"/>
      </w:pPr>
      <w:r>
        <w:rPr>
          <w:rFonts w:ascii="Arial" w:cs="Arial" w:eastAsia="Arial" w:hAnsi="Arial"/>
        </w:rPr>
        <w:t xml:space="preserve">This policy will be reviewed at least annually, and after any significant change to the threat landscape, regulatory requirements or the organisation’s systems.</w:t>
      </w:r>
    </w:p>
    <w:p>
      <w:pPr>
        <w:pStyle w:val="Heading1"/>
      </w:pPr>
      <w:r>
        <w:rPr>
          <w:rFonts w:ascii="Arial" w:cs="Arial" w:eastAsia="Arial" w:hAnsi="Arial"/>
        </w:rPr>
        <w:t xml:space="preserve">Appendix A: Exception request form</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00"/>
        <w:gridCol w:w="5626"/>
      </w:tblGrid>
      <w:tr>
        <w:trPr>
          <w:tblHeader/>
        </w:trPr>
        <w:tc>
          <w:tcPr>
            <w:tcW w:type="dxa" w:w="3400"/>
            <w:tcBorders>
              <w:top w:val="single" w:color="D1D5DB" w:sz="4"/>
              <w:left w:val="single" w:color="D1D5DB" w:sz="4"/>
              <w:bottom w:val="single" w:color="D1D5DB" w:sz="4"/>
              <w:right w:val="single" w:color="D1D5DB" w:sz="4"/>
            </w:tcBorders>
            <w:shd w:fill="14233A" w:color="auto" w:val="clear"/>
            <w:tcMar>
              <w:top w:type="dxa" w:w="60"/>
              <w:left w:type="dxa" w:w="100"/>
              <w:bottom w:type="dxa" w:w="60"/>
              <w:right w:type="dxa" w:w="100"/>
            </w:tcMar>
          </w:tcPr>
          <w:p>
            <w:r>
              <w:rPr>
                <w:rFonts w:ascii="Arial" w:cs="Arial" w:eastAsia="Arial" w:hAnsi="Arial"/>
                <w:b/>
                <w:bCs/>
                <w:color w:val="FFFFFF"/>
                <w:sz w:val="19"/>
                <w:szCs w:val="19"/>
              </w:rPr>
              <w:t xml:space="preserve">Field</w:t>
            </w:r>
          </w:p>
        </w:tc>
        <w:tc>
          <w:tcPr>
            <w:tcW w:type="dxa" w:w="5626"/>
            <w:tcBorders>
              <w:top w:val="single" w:color="D1D5DB" w:sz="4"/>
              <w:left w:val="single" w:color="D1D5DB" w:sz="4"/>
              <w:bottom w:val="single" w:color="D1D5DB" w:sz="4"/>
              <w:right w:val="single" w:color="D1D5DB" w:sz="4"/>
            </w:tcBorders>
            <w:shd w:fill="14233A" w:color="auto" w:val="clear"/>
            <w:tcMar>
              <w:top w:type="dxa" w:w="60"/>
              <w:left w:type="dxa" w:w="100"/>
              <w:bottom w:type="dxa" w:w="60"/>
              <w:right w:type="dxa" w:w="100"/>
            </w:tcMar>
          </w:tcPr>
          <w:p>
            <w:r>
              <w:rPr>
                <w:rFonts w:ascii="Arial" w:cs="Arial" w:eastAsia="Arial" w:hAnsi="Arial"/>
                <w:b/>
                <w:bCs/>
                <w:color w:val="FFFFFF"/>
                <w:sz w:val="19"/>
                <w:szCs w:val="19"/>
              </w:rPr>
              <w:t xml:space="preserve">Details</w:t>
            </w:r>
          </w:p>
        </w:tc>
      </w:tr>
      <w:tr>
        <w:tc>
          <w:tcPr>
            <w:tcW w:type="dxa" w:w="34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Requester and date</w:t>
            </w:r>
          </w:p>
        </w:tc>
        <w:tc>
          <w:tcPr>
            <w:tcW w:type="dxa" w:w="5626"/>
            <w:tcBorders>
              <w:top w:val="single" w:color="D1D5DB" w:sz="4"/>
              <w:left w:val="single" w:color="D1D5DB" w:sz="4"/>
              <w:bottom w:val="single" w:color="D1D5DB" w:sz="4"/>
              <w:right w:val="single" w:color="D1D5DB" w:sz="4"/>
            </w:tcBorders>
            <w:tcMar>
              <w:top w:type="dxa" w:w="60"/>
              <w:left w:type="dxa" w:w="100"/>
              <w:bottom w:type="dxa" w:w="60"/>
              <w:right w:type="dxa" w:w="100"/>
            </w:tcMar>
          </w:tcPr>
          <w:p/>
        </w:tc>
      </w:tr>
      <w:tr>
        <w:tc>
          <w:tcPr>
            <w:tcW w:type="dxa" w:w="34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Vulnerability reference (CVE / scanner ID)</w:t>
            </w:r>
          </w:p>
        </w:tc>
        <w:tc>
          <w:tcPr>
            <w:tcW w:type="dxa" w:w="5626"/>
            <w:tcBorders>
              <w:top w:val="single" w:color="D1D5DB" w:sz="4"/>
              <w:left w:val="single" w:color="D1D5DB" w:sz="4"/>
              <w:bottom w:val="single" w:color="D1D5DB" w:sz="4"/>
              <w:right w:val="single" w:color="D1D5DB" w:sz="4"/>
            </w:tcBorders>
            <w:tcMar>
              <w:top w:type="dxa" w:w="60"/>
              <w:left w:type="dxa" w:w="100"/>
              <w:bottom w:type="dxa" w:w="60"/>
              <w:right w:type="dxa" w:w="100"/>
            </w:tcMar>
          </w:tcPr>
          <w:p/>
        </w:tc>
      </w:tr>
      <w:tr>
        <w:tc>
          <w:tcPr>
            <w:tcW w:type="dxa" w:w="34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Affected assets</w:t>
            </w:r>
          </w:p>
        </w:tc>
        <w:tc>
          <w:tcPr>
            <w:tcW w:type="dxa" w:w="5626"/>
            <w:tcBorders>
              <w:top w:val="single" w:color="D1D5DB" w:sz="4"/>
              <w:left w:val="single" w:color="D1D5DB" w:sz="4"/>
              <w:bottom w:val="single" w:color="D1D5DB" w:sz="4"/>
              <w:right w:val="single" w:color="D1D5DB" w:sz="4"/>
            </w:tcBorders>
            <w:tcMar>
              <w:top w:type="dxa" w:w="60"/>
              <w:left w:type="dxa" w:w="100"/>
              <w:bottom w:type="dxa" w:w="60"/>
              <w:right w:type="dxa" w:w="100"/>
            </w:tcMar>
          </w:tcPr>
          <w:p/>
        </w:tc>
      </w:tr>
      <w:tr>
        <w:tc>
          <w:tcPr>
            <w:tcW w:type="dxa" w:w="34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Severity and exposure</w:t>
            </w:r>
          </w:p>
        </w:tc>
        <w:tc>
          <w:tcPr>
            <w:tcW w:type="dxa" w:w="5626"/>
            <w:tcBorders>
              <w:top w:val="single" w:color="D1D5DB" w:sz="4"/>
              <w:left w:val="single" w:color="D1D5DB" w:sz="4"/>
              <w:bottom w:val="single" w:color="D1D5DB" w:sz="4"/>
              <w:right w:val="single" w:color="D1D5DB" w:sz="4"/>
            </w:tcBorders>
            <w:tcMar>
              <w:top w:type="dxa" w:w="60"/>
              <w:left w:type="dxa" w:w="100"/>
              <w:bottom w:type="dxa" w:w="60"/>
              <w:right w:type="dxa" w:w="100"/>
            </w:tcMar>
          </w:tcPr>
          <w:p/>
        </w:tc>
      </w:tr>
      <w:tr>
        <w:tc>
          <w:tcPr>
            <w:tcW w:type="dxa" w:w="34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Reason remediation is not possible in time</w:t>
            </w:r>
          </w:p>
        </w:tc>
        <w:tc>
          <w:tcPr>
            <w:tcW w:type="dxa" w:w="5626"/>
            <w:tcBorders>
              <w:top w:val="single" w:color="D1D5DB" w:sz="4"/>
              <w:left w:val="single" w:color="D1D5DB" w:sz="4"/>
              <w:bottom w:val="single" w:color="D1D5DB" w:sz="4"/>
              <w:right w:val="single" w:color="D1D5DB" w:sz="4"/>
            </w:tcBorders>
            <w:tcMar>
              <w:top w:type="dxa" w:w="60"/>
              <w:left w:type="dxa" w:w="100"/>
              <w:bottom w:type="dxa" w:w="60"/>
              <w:right w:type="dxa" w:w="100"/>
            </w:tcMar>
          </w:tcPr>
          <w:p/>
        </w:tc>
      </w:tr>
      <w:tr>
        <w:tc>
          <w:tcPr>
            <w:tcW w:type="dxa" w:w="34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Compensating controls</w:t>
            </w:r>
          </w:p>
        </w:tc>
        <w:tc>
          <w:tcPr>
            <w:tcW w:type="dxa" w:w="5626"/>
            <w:tcBorders>
              <w:top w:val="single" w:color="D1D5DB" w:sz="4"/>
              <w:left w:val="single" w:color="D1D5DB" w:sz="4"/>
              <w:bottom w:val="single" w:color="D1D5DB" w:sz="4"/>
              <w:right w:val="single" w:color="D1D5DB" w:sz="4"/>
            </w:tcBorders>
            <w:tcMar>
              <w:top w:type="dxa" w:w="60"/>
              <w:left w:type="dxa" w:w="100"/>
              <w:bottom w:type="dxa" w:w="60"/>
              <w:right w:type="dxa" w:w="100"/>
            </w:tcMar>
          </w:tcPr>
          <w:p/>
        </w:tc>
      </w:tr>
      <w:tr>
        <w:tc>
          <w:tcPr>
            <w:tcW w:type="dxa" w:w="34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Proposed remediation date</w:t>
            </w:r>
          </w:p>
        </w:tc>
        <w:tc>
          <w:tcPr>
            <w:tcW w:type="dxa" w:w="5626"/>
            <w:tcBorders>
              <w:top w:val="single" w:color="D1D5DB" w:sz="4"/>
              <w:left w:val="single" w:color="D1D5DB" w:sz="4"/>
              <w:bottom w:val="single" w:color="D1D5DB" w:sz="4"/>
              <w:right w:val="single" w:color="D1D5DB" w:sz="4"/>
            </w:tcBorders>
            <w:tcMar>
              <w:top w:type="dxa" w:w="60"/>
              <w:left w:type="dxa" w:w="100"/>
              <w:bottom w:type="dxa" w:w="60"/>
              <w:right w:type="dxa" w:w="100"/>
            </w:tcMar>
          </w:tcPr>
          <w:p/>
        </w:tc>
      </w:tr>
      <w:tr>
        <w:tc>
          <w:tcPr>
            <w:tcW w:type="dxa" w:w="34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Exception expiry date</w:t>
            </w:r>
          </w:p>
        </w:tc>
        <w:tc>
          <w:tcPr>
            <w:tcW w:type="dxa" w:w="5626"/>
            <w:tcBorders>
              <w:top w:val="single" w:color="D1D5DB" w:sz="4"/>
              <w:left w:val="single" w:color="D1D5DB" w:sz="4"/>
              <w:bottom w:val="single" w:color="D1D5DB" w:sz="4"/>
              <w:right w:val="single" w:color="D1D5DB" w:sz="4"/>
            </w:tcBorders>
            <w:tcMar>
              <w:top w:type="dxa" w:w="60"/>
              <w:left w:type="dxa" w:w="100"/>
              <w:bottom w:type="dxa" w:w="60"/>
              <w:right w:type="dxa" w:w="100"/>
            </w:tcMar>
          </w:tcPr>
          <w:p/>
        </w:tc>
      </w:tr>
      <w:tr>
        <w:tc>
          <w:tcPr>
            <w:tcW w:type="dxa" w:w="3400"/>
            <w:tcBorders>
              <w:top w:val="single" w:color="D1D5DB" w:sz="4"/>
              <w:left w:val="single" w:color="D1D5DB" w:sz="4"/>
              <w:bottom w:val="single" w:color="D1D5DB" w:sz="4"/>
              <w:right w:val="single" w:color="D1D5DB" w:sz="4"/>
            </w:tcBorders>
            <w:tcMar>
              <w:top w:type="dxa" w:w="60"/>
              <w:left w:type="dxa" w:w="100"/>
              <w:bottom w:type="dxa" w:w="60"/>
              <w:right w:type="dxa" w:w="100"/>
            </w:tcMar>
          </w:tcPr>
          <w:p>
            <w:r>
              <w:rPr>
                <w:rFonts w:ascii="Arial" w:cs="Arial" w:eastAsia="Arial" w:hAnsi="Arial"/>
                <w:sz w:val="19"/>
                <w:szCs w:val="19"/>
              </w:rPr>
              <w:t xml:space="preserve">Approved by (name, role, date)</w:t>
            </w:r>
          </w:p>
        </w:tc>
        <w:tc>
          <w:tcPr>
            <w:tcW w:type="dxa" w:w="5626"/>
            <w:tcBorders>
              <w:top w:val="single" w:color="D1D5DB" w:sz="4"/>
              <w:left w:val="single" w:color="D1D5DB" w:sz="4"/>
              <w:bottom w:val="single" w:color="D1D5DB" w:sz="4"/>
              <w:right w:val="single" w:color="D1D5DB" w:sz="4"/>
            </w:tcBorders>
            <w:tcMar>
              <w:top w:type="dxa" w:w="60"/>
              <w:left w:type="dxa" w:w="100"/>
              <w:bottom w:type="dxa" w:w="60"/>
              <w:right w:type="dxa" w:w="100"/>
            </w:tcMar>
          </w:tcPr>
          <w:p/>
        </w:tc>
      </w:tr>
    </w:tbl>
    <w:sectPr>
      <w:footerReference w:type="default" r:id="rId6"/>
      <w:pgSz w:w="11906" w:h="16838" w:orient="portrait"/>
      <w:pgMar w:top="1300" w:right="1440" w:bottom="13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rFonts w:ascii="Arial" w:cs="Arial" w:eastAsia="Arial" w:hAnsi="Arial"/>
        <w:color w:val="6B7280"/>
        <w:sz w:val="14"/>
        <w:szCs w:val="14"/>
      </w:rPr>
      <w:t xml:space="preserve">Template © 2026 Scarlet Dragonfly · scarlet-dragonfly.com · Free to use and adapt</w:t>
    </w:r>
    <w:r>
      <w:rPr>
        <w:rFonts w:ascii="Arial" w:cs="Arial" w:eastAsia="Arial" w:hAnsi="Arial"/>
        <w:color w:val="6B7280"/>
        <w:sz w:val="14"/>
        <w:szCs w:val="14"/>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20" w:before="300"/>
      <w:outlineLvl w:val="0"/>
    </w:pPr>
    <w:rPr>
      <w:rFonts w:ascii="Arial" w:cs="Arial" w:eastAsia="Arial" w:hAnsi="Arial"/>
      <w:b/>
      <w:bCs/>
      <w:color w:val="14233A"/>
      <w:sz w:val="28"/>
      <w:szCs w:val="28"/>
    </w:rPr>
  </w:style>
  <w:style w:type="paragraph" w:styleId="Heading2">
    <w:name w:val="Heading 2"/>
    <w:basedOn w:val="Normal"/>
    <w:next w:val="Normal"/>
    <w:qFormat/>
    <w:pPr>
      <w:keepNext/>
      <w:spacing w:after="100" w:before="200"/>
      <w:outlineLvl w:val="1"/>
    </w:pPr>
    <w:rPr>
      <w:rFonts w:ascii="Arial" w:cs="Arial" w:eastAsia="Arial" w:hAnsi="Arial"/>
      <w:b/>
      <w:bCs/>
      <w:color w:val="14233A"/>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e80d95070218c43995b51cbf21c87b9ecb6e1f8c.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Vulnerability Management Policy Template</dc:title>
  <dc:creator>Scarlet Dragonfly</dc:creator>
  <cp:lastModifiedBy>Un-named</cp:lastModifiedBy>
  <cp:revision>1</cp:revision>
  <dcterms:created xsi:type="dcterms:W3CDTF">2026-11-02T11:32:33.637Z</dcterms:created>
  <dcterms:modified xsi:type="dcterms:W3CDTF">2026-11-02T11:32:33.638Z</dcterms:modified>
</cp:coreProperties>
</file>

<file path=docProps/custom.xml><?xml version="1.0" encoding="utf-8"?>
<Properties xmlns="http://schemas.openxmlformats.org/officeDocument/2006/custom-properties" xmlns:vt="http://schemas.openxmlformats.org/officeDocument/2006/docPropsVTypes"/>
</file>